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bookmarkStart w:id="0" w:name="_GoBack"/>
      <w:bookmarkEnd w:id="0"/>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73DCCA42"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B25A3E">
            <w:rPr>
              <w:rFonts w:ascii="Cambria" w:hAnsi="Cambria"/>
              <w:b/>
              <w:sz w:val="26"/>
              <w:szCs w:val="26"/>
            </w:rPr>
            <w:t xml:space="preserve">Proiect de hotărârePrivind darea în administrarea unităților de învățământ preuniversitar, a bunurilor imobile, proprietate publică a Municipiului Dej, în care își desfășoară activitatea unitățile de învățământ preuniversitar </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0066B69C"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Primarul Municipiului Dej;</w:t>
      </w:r>
    </w:p>
    <w:p w14:paraId="7F7833A5"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xml:space="preserve">Având în vedere Referatul Compartimentului Patrimoniu nr………. , privind darea în administrare unităților de învățământ preuniversitar a  spatiilor ce  fac obiectul de desfășurare a activităților  unităților de învățământ preuniversitar , proprietate publică a Municipiului Dej </w:t>
      </w:r>
    </w:p>
    <w:p w14:paraId="41622AE4"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Văzând prevederile art.36, alin.(1) din Legea nr.215/2001 privind administrația</w:t>
      </w:r>
    </w:p>
    <w:p w14:paraId="6E144EE8"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publică locală, republicată, cu modificările şi completările ulterioare;</w:t>
      </w:r>
    </w:p>
    <w:p w14:paraId="1C24119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În conformitate cu prevederile:</w:t>
      </w:r>
    </w:p>
    <w:p w14:paraId="2EC2C81C"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art.36, alin.(2), lit.c), alin.(5), lit.a) coroborate cu art.123, alin.(1) din legea</w:t>
      </w:r>
    </w:p>
    <w:p w14:paraId="0183AB40"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menționată mai sus, art.112, alin.(1) şi (2) din Legea nr.1/2011 a educaţiei naţionale;</w:t>
      </w:r>
    </w:p>
    <w:p w14:paraId="334D57E5"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art.867, alin.(1) si art.868, alin.(1) din Codul Civil;</w:t>
      </w:r>
    </w:p>
    <w:p w14:paraId="3931B506"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art.3, alin.(1) si alin.(4) din Legea nr.213/1998, privind bunurile proprietate publică actualizată;</w:t>
      </w:r>
    </w:p>
    <w:p w14:paraId="42FA7B70"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În temeiul prevederilor art.45, alin.(1) şi (3) coroborat cu art.115, alin.(1), lit.b) din Legea nr. 215/2001 privind administrația publică locală, republicată, cu modificările şi completările ulterioare;</w:t>
      </w:r>
    </w:p>
    <w:p w14:paraId="1E5E482A"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HOTĂRĂŞTE:</w:t>
      </w:r>
    </w:p>
    <w:p w14:paraId="220329E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Art.1. Se aprobă darea în administrarea unităților de învățământ preuniversitar a  bunurilor imobile, proprietate publică a Municipiului Dej, în care își desfășoară activitatea unitățile de învățământ preuniversitar ,identificate în Anexa nr.1 la prezenta hotărâre.</w:t>
      </w:r>
    </w:p>
    <w:p w14:paraId="6E6A8689"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Art.2. Darea în administrare a bunurilor  imobile menționate la art.1se face pe baza unui Contract de administrare, încheiat între Consiliul Local Dej si unitatea de învăţământ preuniversitar, conform modelului prezentat în Anexa nr.2, care face parte integrantă din această hotărâre.</w:t>
      </w:r>
    </w:p>
    <w:p w14:paraId="07B821E5"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xml:space="preserve">Art.3. Titularul dreptului de administrare va exercita dreptul de  posesie, si folosința cu privire la imobilele prevăzute la art.1 , fără a putea schimba destinația </w:t>
      </w:r>
      <w:r w:rsidRPr="001A5945">
        <w:rPr>
          <w:rFonts w:ascii="Cambria" w:hAnsi="Cambria"/>
          <w:color w:val="000000"/>
          <w:sz w:val="26"/>
          <w:szCs w:val="26"/>
        </w:rPr>
        <w:lastRenderedPageBreak/>
        <w:t>spatiilor afectate in procesul educațional si fără a putea înstrăina aceste imobile, conform prevederilor contractului de administrare.</w:t>
      </w:r>
    </w:p>
    <w:p w14:paraId="3DF905DD"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Art.4. Se împuternicește Primarul Municipiului Dej sa semneze in numele si pe seama Consiliului Local, contractul de administrare încheiat intre cele doua parți.</w:t>
      </w:r>
    </w:p>
    <w:p w14:paraId="100CCCDC" w14:textId="132CA786" w:rsid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 xml:space="preserve">Art.5. Cu ducerea la îndeplinire a prezentei hotărâri se încredințează , </w:t>
      </w:r>
      <w:r>
        <w:rPr>
          <w:rFonts w:ascii="Cambria" w:hAnsi="Cambria"/>
          <w:color w:val="000000"/>
          <w:sz w:val="26"/>
          <w:szCs w:val="26"/>
        </w:rPr>
        <w:t xml:space="preserve">Direcția Tehnica, </w:t>
      </w:r>
      <w:r w:rsidRPr="001A5945">
        <w:rPr>
          <w:rFonts w:ascii="Cambria" w:hAnsi="Cambria"/>
          <w:color w:val="000000"/>
          <w:sz w:val="26"/>
          <w:szCs w:val="26"/>
        </w:rPr>
        <w:t xml:space="preserve"> Compartimentului patrimoniu din cadrul Primăriei municipiului Dej. </w:t>
      </w:r>
    </w:p>
    <w:p w14:paraId="1562C78E" w14:textId="561BCDD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Art.6. Prezenta hotărâre se comunica  prin intermediul secretarului, în termenul prevăzut de lege dupa cum urmeaza :</w:t>
      </w:r>
    </w:p>
    <w:p w14:paraId="098E4504"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Primarului Municipiului Dej</w:t>
      </w:r>
    </w:p>
    <w:p w14:paraId="31FA674C"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Compartimentului Patrimoniu Public si Privat al Primăriei Municipiului Dej</w:t>
      </w:r>
    </w:p>
    <w:p w14:paraId="6E5994F7" w14:textId="33237B2D"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r>
      <w:r>
        <w:rPr>
          <w:rFonts w:ascii="Cambria" w:hAnsi="Cambria"/>
          <w:color w:val="000000"/>
          <w:sz w:val="26"/>
          <w:szCs w:val="26"/>
        </w:rPr>
        <w:t>Directiei Tehnice</w:t>
      </w:r>
      <w:r w:rsidRPr="001A5945">
        <w:rPr>
          <w:rFonts w:ascii="Cambria" w:hAnsi="Cambria"/>
          <w:color w:val="000000"/>
          <w:sz w:val="26"/>
          <w:szCs w:val="26"/>
        </w:rPr>
        <w:t>;</w:t>
      </w:r>
    </w:p>
    <w:p w14:paraId="7DB4B71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Prefectului Judetului Cluj</w:t>
      </w:r>
    </w:p>
    <w:p w14:paraId="18E02ABF"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 xml:space="preserve">Inspectoratului Şcolar Judeţean Cluj </w:t>
      </w:r>
    </w:p>
    <w:p w14:paraId="6AD4A8F1"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Gradinita Arlechino Dej , cu sediul in str.1 Mai nr.12, Dej</w:t>
      </w:r>
    </w:p>
    <w:p w14:paraId="7B62114B"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Gradinita Piticot Dej, cu sediul in str.Aleea Tomis nr.1, Dej</w:t>
      </w:r>
    </w:p>
    <w:p w14:paraId="7C3E723D"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Gradinita Lumea Piticilor Dej , cu sediul in Str. Aurora nr.3, Dej</w:t>
      </w:r>
    </w:p>
    <w:p w14:paraId="02B18214"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Gradinita Paradisul Piticilor Dej, cu sediul in str.Unirii nr.1 , Dej</w:t>
      </w:r>
    </w:p>
    <w:p w14:paraId="6ED7ECBD"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Gradinita Junior Dej, cu sediul in str.Infratirii nr.30 , Dej</w:t>
      </w:r>
    </w:p>
    <w:p w14:paraId="6CA206B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Gimnaziana nr.1,cu sediul in Dej ,P-Ta Bobalna nr.14</w:t>
      </w:r>
    </w:p>
    <w:p w14:paraId="1EE7CB2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Gimnaziala Avram Iancu ,sediul in Dej,str.Marasti nr.5A</w:t>
      </w:r>
    </w:p>
    <w:p w14:paraId="3D68A38E"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Gimnaziala Mihai Eminescu, sediul in Dej, str.Avram Iancu nr.2,4</w:t>
      </w:r>
    </w:p>
    <w:p w14:paraId="72574E02"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Ocna Dej, cu sediul in Dej , str.Mixandrelor ,nr.2A</w:t>
      </w:r>
    </w:p>
    <w:p w14:paraId="1A589140"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Somcutul Mic , cu sediul in Somcutul Mic</w:t>
      </w:r>
    </w:p>
    <w:p w14:paraId="52C8F4BA"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Scoala Pintic Dej , cu sediul in Pintic F.N.</w:t>
      </w:r>
    </w:p>
    <w:p w14:paraId="0261716B"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Colegiul National Andrei Muresanu , cu sediul in Dej, str.1 Mai nr.10</w:t>
      </w:r>
    </w:p>
    <w:p w14:paraId="6F48D449"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Liceul teoretic Alexandru Papiu Ilarian , cu sediul in Dej , P-ta Lupeni nr.2</w:t>
      </w:r>
    </w:p>
    <w:p w14:paraId="5804DA20" w14:textId="77777777" w:rsidR="001A5945" w:rsidRPr="001A5945" w:rsidRDefault="001A5945" w:rsidP="001A5945">
      <w:pPr>
        <w:ind w:firstLine="851"/>
        <w:jc w:val="both"/>
        <w:rPr>
          <w:rFonts w:ascii="Cambria" w:hAnsi="Cambria"/>
          <w:color w:val="000000"/>
          <w:sz w:val="26"/>
          <w:szCs w:val="26"/>
        </w:rPr>
      </w:pPr>
      <w:r w:rsidRPr="001A5945">
        <w:rPr>
          <w:rFonts w:ascii="Cambria" w:hAnsi="Cambria"/>
          <w:color w:val="000000"/>
          <w:sz w:val="26"/>
          <w:szCs w:val="26"/>
        </w:rPr>
        <w:t>-</w:t>
      </w:r>
      <w:r w:rsidRPr="001A5945">
        <w:rPr>
          <w:rFonts w:ascii="Cambria" w:hAnsi="Cambria"/>
          <w:color w:val="000000"/>
          <w:sz w:val="26"/>
          <w:szCs w:val="26"/>
        </w:rPr>
        <w:tab/>
        <w:t xml:space="preserve">Liceul Tehnologic Somes Dej , cu sediul in Dej str.Marasesti nr.20   </w:t>
      </w:r>
    </w:p>
    <w:p w14:paraId="414FFA77" w14:textId="77777777" w:rsidR="001B05BD" w:rsidRDefault="001B05BD" w:rsidP="001B05BD">
      <w:pPr>
        <w:jc w:val="both"/>
        <w:rPr>
          <w:rFonts w:ascii="Cambria" w:hAnsi="Cambria"/>
          <w:sz w:val="26"/>
          <w:szCs w:val="26"/>
        </w:rPr>
      </w:pPr>
    </w:p>
    <w:p w14:paraId="116E9FF3" w14:textId="543B8D78" w:rsidR="001A5945" w:rsidRDefault="001A5945" w:rsidP="001B05BD">
      <w:pPr>
        <w:jc w:val="both"/>
        <w:rPr>
          <w:rFonts w:ascii="Cambria" w:hAnsi="Cambria"/>
          <w:sz w:val="26"/>
          <w:szCs w:val="26"/>
        </w:rPr>
      </w:pPr>
    </w:p>
    <w:p w14:paraId="2EB7977E" w14:textId="77777777" w:rsidR="001A5945" w:rsidRPr="00A15409" w:rsidRDefault="001A5945"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GB" w:eastAsia="en-GB"/>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A5945"/>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8D0664"/>
    <w:rsid w:val="00906EE2"/>
    <w:rsid w:val="009666FA"/>
    <w:rsid w:val="00A11E14"/>
    <w:rsid w:val="00A16D1B"/>
    <w:rsid w:val="00A6498E"/>
    <w:rsid w:val="00A85BFC"/>
    <w:rsid w:val="00A872A7"/>
    <w:rsid w:val="00AF273E"/>
    <w:rsid w:val="00B0308D"/>
    <w:rsid w:val="00B17638"/>
    <w:rsid w:val="00B25A3E"/>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D769E2"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D7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darea în administrarea unităților de învățământ preuniversitar, a bunurilor imobile, proprietate publică a Municipiului Dej, în care își desfășoară activitatea unitățile de învățământ preuniversitar 
</DocumentSetDescription>
    <Nume_x0020_proiect_x0020_HCL xmlns="49ad8bbe-11e1-42b2-a965-6a341b5f7ad4">Proiect de hotărâre
Privind darea în administrarea unităților de învățământ preuniversitar, a bunurilor imobile, proprietate publică a Municipiului Dej, în care își desfășoară activitatea unitățile de învățământ preuniversitar 
</Nume_x0020_proiect_x0020_HCL>
    <_dlc_DocId xmlns="49ad8bbe-11e1-42b2-a965-6a341b5f7ad4">PMD17-1485498287-936</_dlc_DocId>
    <_dlc_DocIdUrl xmlns="49ad8bbe-11e1-42b2-a965-6a341b5f7ad4">
      <Url>http://smdoc/Situri/CL/_layouts/15/DocIdRedir.aspx?ID=PMD17-1485498287-936</Url>
      <Description>PMD17-1485498287-936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FBE5-4FAF-4459-A866-C47E492895C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49ad8bbe-11e1-42b2-a965-6a341b5f7ad4"/>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3.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4.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8A4D8-16B7-4DEA-A985-CEF1F4A2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3369</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3952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administrare spatii invatamant - Proiect de hotarare.docx</dc:title>
  <dc:subject/>
  <dc:creator>Juridic</dc:creator>
  <cp:keywords/>
  <cp:lastModifiedBy>Cristina.Pop</cp:lastModifiedBy>
  <cp:revision>5</cp:revision>
  <cp:lastPrinted>2016-03-07T09:10:00Z</cp:lastPrinted>
  <dcterms:created xsi:type="dcterms:W3CDTF">2016-03-17T12:54:00Z</dcterms:created>
  <dcterms:modified xsi:type="dcterms:W3CDTF">2017-09-13T05:26:00Z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c612b9df-1734-4898-99e5-6c99ef3fecc0</vt:lpwstr>
  </property>
  <property fmtid="{D5CDD505-2E9C-101B-9397-08002B2CF9AE}" pid="4" name="_docset_NoMedatataSyncRequired">
    <vt:lpwstr>False</vt:lpwstr>
  </property>
</Properties>
</file>